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95AA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</w:rPr>
      </w:pPr>
    </w:p>
    <w:p w14:paraId="21CE5C52" w14:textId="21A067C7" w:rsidR="00036E4F" w:rsidRPr="009D0D80" w:rsidRDefault="00036E4F" w:rsidP="00036E4F">
      <w:pPr>
        <w:jc w:val="both"/>
        <w:rPr>
          <w:rFonts w:ascii="Garamond" w:hAnsi="Garamond" w:cstheme="minorHAnsi"/>
          <w:b/>
          <w:bCs/>
          <w:color w:val="0089D0"/>
          <w:sz w:val="24"/>
          <w:szCs w:val="24"/>
          <w:shd w:val="clear" w:color="auto" w:fill="FFFFFF"/>
          <w:lang w:val="en-IN"/>
        </w:rPr>
      </w:pPr>
      <w:r w:rsidRPr="009D0D80">
        <w:rPr>
          <w:rFonts w:ascii="Garamond" w:hAnsi="Garamond" w:cstheme="minorHAnsi"/>
          <w:b/>
          <w:bCs/>
          <w:color w:val="0089D0"/>
          <w:sz w:val="24"/>
          <w:szCs w:val="24"/>
          <w:shd w:val="clear" w:color="auto" w:fill="FFFFFF"/>
          <w:lang w:val="en-IN"/>
        </w:rPr>
        <w:t xml:space="preserve">Complaint against </w:t>
      </w:r>
      <w:r>
        <w:rPr>
          <w:rFonts w:ascii="Garamond" w:hAnsi="Garamond" w:cstheme="minorHAnsi"/>
          <w:b/>
          <w:bCs/>
          <w:color w:val="0089D0"/>
          <w:sz w:val="24"/>
          <w:szCs w:val="24"/>
          <w:shd w:val="clear" w:color="auto" w:fill="FFFFFF"/>
          <w:lang w:val="en-IN"/>
        </w:rPr>
        <w:t xml:space="preserve">Registered </w:t>
      </w:r>
      <w:r>
        <w:rPr>
          <w:rFonts w:ascii="Garamond" w:hAnsi="Garamond" w:cstheme="minorHAnsi"/>
          <w:b/>
          <w:bCs/>
          <w:color w:val="0089D0"/>
          <w:sz w:val="24"/>
          <w:szCs w:val="24"/>
          <w:shd w:val="clear" w:color="auto" w:fill="FFFFFF"/>
          <w:lang w:val="en-IN"/>
        </w:rPr>
        <w:t>I</w:t>
      </w:r>
      <w:r>
        <w:rPr>
          <w:rFonts w:ascii="Garamond" w:hAnsi="Garamond" w:cstheme="minorHAnsi"/>
          <w:b/>
          <w:bCs/>
          <w:color w:val="0089D0"/>
          <w:sz w:val="24"/>
          <w:szCs w:val="24"/>
          <w:shd w:val="clear" w:color="auto" w:fill="FFFFFF"/>
          <w:lang w:val="en-IN"/>
        </w:rPr>
        <w:t xml:space="preserve">nvestment Advisors (RIA) who are members of BSE Administration &amp; Supervision Ltd. (BASL) </w:t>
      </w:r>
    </w:p>
    <w:p w14:paraId="04B88D29" w14:textId="77777777" w:rsidR="00036E4F" w:rsidRPr="009D0D80" w:rsidRDefault="00036E4F" w:rsidP="00036E4F">
      <w:pPr>
        <w:jc w:val="both"/>
        <w:rPr>
          <w:rFonts w:ascii="Garamond" w:hAnsi="Garamond" w:cstheme="minorHAnsi"/>
          <w:b/>
          <w:bCs/>
          <w:sz w:val="24"/>
          <w:szCs w:val="24"/>
          <w:lang w:val="en-IN"/>
        </w:rPr>
      </w:pPr>
    </w:p>
    <w:p w14:paraId="370C096E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63D288E4" w14:textId="77777777" w:rsidR="00036E4F" w:rsidRPr="009D0D80" w:rsidRDefault="00036E4F" w:rsidP="00036E4F">
      <w:pPr>
        <w:jc w:val="both"/>
        <w:rPr>
          <w:rFonts w:ascii="Garamond" w:hAnsi="Garamond" w:cstheme="minorHAnsi"/>
          <w:b/>
          <w:bCs/>
          <w:sz w:val="24"/>
          <w:szCs w:val="24"/>
          <w:lang w:val="en-IN"/>
        </w:rPr>
      </w:pPr>
      <w:r w:rsidRPr="009D0D80">
        <w:rPr>
          <w:rFonts w:ascii="Garamond" w:hAnsi="Garamond" w:cstheme="minorHAnsi"/>
          <w:b/>
          <w:bCs/>
          <w:sz w:val="24"/>
          <w:szCs w:val="24"/>
          <w:lang w:val="en-IN"/>
        </w:rPr>
        <w:t xml:space="preserve">Investors Grievances </w:t>
      </w:r>
      <w:r w:rsidRPr="009D0D80">
        <w:rPr>
          <w:rFonts w:ascii="Garamond" w:hAnsi="Garamond" w:cstheme="minorHAnsi"/>
          <w:b/>
          <w:bCs/>
          <w:color w:val="000000" w:themeColor="text1"/>
          <w:sz w:val="24"/>
          <w:szCs w:val="24"/>
          <w:lang w:val="en-IN"/>
        </w:rPr>
        <w:t xml:space="preserve">against </w:t>
      </w:r>
      <w:r>
        <w:rPr>
          <w:rFonts w:ascii="Garamond" w:hAnsi="Garamond" w:cstheme="minorHAnsi"/>
          <w:b/>
          <w:bCs/>
          <w:color w:val="000000" w:themeColor="text1"/>
          <w:sz w:val="24"/>
          <w:szCs w:val="24"/>
          <w:lang w:val="en-IN"/>
        </w:rPr>
        <w:t xml:space="preserve">RIAs </w:t>
      </w:r>
    </w:p>
    <w:p w14:paraId="1EDA7B0E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3EAF94F6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70F28924" w14:textId="07096E8F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Investor can lodge a complaint through email at </w:t>
      </w:r>
      <w:r w:rsidRPr="00036E4F">
        <w:rPr>
          <w:rFonts w:ascii="Garamond" w:hAnsi="Garamond" w:cstheme="minorHAnsi"/>
          <w:color w:val="FF0000"/>
          <w:sz w:val="24"/>
          <w:szCs w:val="24"/>
          <w:lang w:val="en-IN"/>
        </w:rPr>
        <w:t xml:space="preserve">______________________________ </w:t>
      </w:r>
      <w:r w:rsidRPr="009D0D80">
        <w:rPr>
          <w:rFonts w:ascii="Garamond" w:hAnsi="Garamond" w:cstheme="minorHAnsi"/>
          <w:sz w:val="24"/>
          <w:szCs w:val="24"/>
          <w:lang w:val="en-IN"/>
        </w:rPr>
        <w:t>or through the facility provided on website under Investor section “</w:t>
      </w:r>
      <w:r w:rsidRPr="009D0D80">
        <w:rPr>
          <w:rFonts w:ascii="Garamond" w:hAnsi="Garamond" w:cstheme="minorHAnsi"/>
          <w:color w:val="0070C0"/>
          <w:sz w:val="24"/>
          <w:szCs w:val="24"/>
          <w:lang w:val="en-IN"/>
        </w:rPr>
        <w:t>e-Complaint Registration</w:t>
      </w:r>
      <w:r w:rsidRPr="009D0D80">
        <w:rPr>
          <w:rFonts w:ascii="Garamond" w:hAnsi="Garamond" w:cstheme="minorHAnsi"/>
          <w:sz w:val="24"/>
          <w:szCs w:val="24"/>
          <w:lang w:val="en-IN"/>
        </w:rPr>
        <w:t>”.</w:t>
      </w:r>
    </w:p>
    <w:p w14:paraId="238419E0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1DE15A27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Additionally, investor can also lodge a complaint on </w:t>
      </w:r>
      <w:r w:rsidRPr="009D0D80">
        <w:rPr>
          <w:rFonts w:ascii="Garamond" w:hAnsi="Garamond" w:cstheme="minorHAnsi"/>
          <w:color w:val="0070C0"/>
          <w:sz w:val="24"/>
          <w:szCs w:val="24"/>
          <w:lang w:val="en-IN"/>
        </w:rPr>
        <w:t>SCORES</w:t>
      </w:r>
      <w:r w:rsidRPr="009D0D80">
        <w:rPr>
          <w:rFonts w:ascii="Garamond" w:hAnsi="Garamond" w:cstheme="minorHAnsi"/>
          <w:sz w:val="24"/>
          <w:szCs w:val="24"/>
          <w:lang w:val="en-IN"/>
        </w:rPr>
        <w:t>, a web based centralized grievance redressal system of SEBI.</w:t>
      </w:r>
    </w:p>
    <w:p w14:paraId="694C5159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2FD9B29A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The complaints of investors against </w:t>
      </w:r>
      <w:r>
        <w:rPr>
          <w:rFonts w:ascii="Garamond" w:hAnsi="Garamond" w:cstheme="minorHAnsi"/>
          <w:sz w:val="24"/>
          <w:szCs w:val="24"/>
          <w:lang w:val="en-IN"/>
        </w:rPr>
        <w:t xml:space="preserve">RIA who are members of BASL </w:t>
      </w: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are forwarded to the concerned </w:t>
      </w:r>
      <w:r>
        <w:rPr>
          <w:rFonts w:ascii="Garamond" w:hAnsi="Garamond" w:cstheme="minorHAnsi"/>
          <w:sz w:val="24"/>
          <w:szCs w:val="24"/>
          <w:lang w:val="en-IN"/>
        </w:rPr>
        <w:t xml:space="preserve">RIA </w:t>
      </w: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for resolution. </w:t>
      </w:r>
    </w:p>
    <w:p w14:paraId="4DA58DAB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6338BD26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In case no reply is received from the </w:t>
      </w:r>
      <w:r>
        <w:rPr>
          <w:rFonts w:ascii="Garamond" w:hAnsi="Garamond" w:cstheme="minorHAnsi"/>
          <w:sz w:val="24"/>
          <w:szCs w:val="24"/>
          <w:lang w:val="en-IN"/>
        </w:rPr>
        <w:t xml:space="preserve">RIA </w:t>
      </w: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or the reply received from the </w:t>
      </w:r>
      <w:r>
        <w:rPr>
          <w:rFonts w:ascii="Garamond" w:hAnsi="Garamond" w:cstheme="minorHAnsi"/>
          <w:sz w:val="24"/>
          <w:szCs w:val="24"/>
          <w:lang w:val="en-IN"/>
        </w:rPr>
        <w:t xml:space="preserve">RIA </w:t>
      </w: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does not satisfy the complainant or the matter is not getting settled amicably, the same is placed before Investors' Grievances Redressal Committee (IGRC). </w:t>
      </w:r>
    </w:p>
    <w:p w14:paraId="12BD4774" w14:textId="77777777" w:rsidR="00036E4F" w:rsidRPr="009D0D80" w:rsidRDefault="00036E4F" w:rsidP="00036E4F">
      <w:pPr>
        <w:jc w:val="both"/>
        <w:rPr>
          <w:rFonts w:ascii="Garamond" w:hAnsi="Garamond" w:cstheme="minorHAnsi"/>
          <w:sz w:val="24"/>
          <w:szCs w:val="24"/>
          <w:lang w:val="en-IN"/>
        </w:rPr>
      </w:pPr>
    </w:p>
    <w:p w14:paraId="026AEF28" w14:textId="77777777" w:rsidR="00036E4F" w:rsidRPr="009D0D80" w:rsidRDefault="00036E4F" w:rsidP="00036E4F">
      <w:pPr>
        <w:jc w:val="both"/>
        <w:rPr>
          <w:rFonts w:ascii="Garamond" w:hAnsi="Garamond" w:cstheme="minorHAnsi"/>
          <w:b/>
          <w:bCs/>
          <w:sz w:val="24"/>
          <w:szCs w:val="24"/>
          <w:lang w:val="en-IN"/>
        </w:rPr>
      </w:pPr>
      <w:r w:rsidRPr="009D0D80">
        <w:rPr>
          <w:rFonts w:ascii="Garamond" w:hAnsi="Garamond" w:cstheme="minorHAnsi"/>
          <w:b/>
          <w:bCs/>
          <w:sz w:val="24"/>
          <w:szCs w:val="24"/>
          <w:lang w:val="en-IN"/>
        </w:rPr>
        <w:t>Investors' Grievances Redressal Committee (IGRC):</w:t>
      </w:r>
    </w:p>
    <w:p w14:paraId="5B6585FB" w14:textId="77777777" w:rsidR="00036E4F" w:rsidRPr="009D0D80" w:rsidRDefault="00036E4F" w:rsidP="00036E4F">
      <w:pPr>
        <w:jc w:val="both"/>
        <w:rPr>
          <w:rFonts w:ascii="Garamond" w:hAnsi="Garamond" w:cstheme="minorHAnsi"/>
          <w:color w:val="000000" w:themeColor="text1"/>
          <w:sz w:val="24"/>
          <w:szCs w:val="24"/>
          <w:lang w:val="en-IN"/>
        </w:rPr>
      </w:pPr>
      <w:r w:rsidRPr="009D0D80">
        <w:rPr>
          <w:rFonts w:ascii="Garamond" w:hAnsi="Garamond" w:cstheme="minorHAnsi"/>
          <w:sz w:val="24"/>
          <w:szCs w:val="24"/>
          <w:lang w:val="en-IN"/>
        </w:rPr>
        <w:t xml:space="preserve">IGRC is a conciliatory mechanism; wherein, both the parties to the dispute are called before the </w:t>
      </w:r>
      <w:r w:rsidRPr="009D0D80">
        <w:rPr>
          <w:rFonts w:ascii="Garamond" w:hAnsi="Garamond" w:cstheme="minorHAnsi"/>
          <w:color w:val="000000" w:themeColor="text1"/>
          <w:sz w:val="24"/>
          <w:szCs w:val="24"/>
          <w:lang w:val="en-IN"/>
        </w:rPr>
        <w:t xml:space="preserve">Committee and efforts are made to arrive at the solution which is acceptable to both the parties. </w:t>
      </w:r>
    </w:p>
    <w:p w14:paraId="4A7B4859" w14:textId="124D5939" w:rsidR="00036E4F" w:rsidRPr="009D0D80" w:rsidRDefault="00036E4F" w:rsidP="00036E4F">
      <w:pPr>
        <w:shd w:val="clear" w:color="auto" w:fill="FFFFFF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  <w:lang w:val="en-IN"/>
        </w:rPr>
        <w:br/>
      </w:r>
      <w:r w:rsidRPr="009D0D80">
        <w:rPr>
          <w:rStyle w:val="Strong"/>
          <w:rFonts w:ascii="Garamond" w:hAnsi="Garamond" w:cstheme="minorHAnsi"/>
          <w:color w:val="000000" w:themeColor="text1"/>
          <w:sz w:val="24"/>
          <w:szCs w:val="24"/>
        </w:rPr>
        <w:t>Complaints not taken up at the Exchange</w:t>
      </w:r>
    </w:p>
    <w:p w14:paraId="7693626F" w14:textId="78473110" w:rsidR="00036E4F" w:rsidRPr="009D0D80" w:rsidRDefault="00036E4F" w:rsidP="0003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br/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BASL </w:t>
      </w: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>will not deal with certain types of complaints. Illustrative list of nature of complaints that would not be handled by Investor Services Cell are as under:</w:t>
      </w:r>
    </w:p>
    <w:p w14:paraId="0F342FF1" w14:textId="5E323509" w:rsidR="00036E4F" w:rsidRPr="009D0D80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 xml:space="preserve">Complaints which are relating to entities which are not regulated by </w:t>
      </w:r>
      <w:r>
        <w:rPr>
          <w:rFonts w:ascii="Garamond" w:hAnsi="Garamond" w:cstheme="minorHAnsi"/>
          <w:color w:val="000000" w:themeColor="text1"/>
          <w:sz w:val="24"/>
          <w:szCs w:val="24"/>
        </w:rPr>
        <w:t>BASL</w:t>
      </w: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 xml:space="preserve"> / entities which are not registered with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BASL as RIA </w:t>
      </w:r>
    </w:p>
    <w:p w14:paraId="601FEE84" w14:textId="77777777" w:rsidR="00036E4F" w:rsidRPr="009D0D80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 xml:space="preserve">Complaints which are relating to activities other than trading </w:t>
      </w:r>
    </w:p>
    <w:p w14:paraId="440E201C" w14:textId="77777777" w:rsidR="00036E4F" w:rsidRPr="009D0D80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 xml:space="preserve">Complaints relating to transactions which are in the nature of loan or financing and not within the framework defined by the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BASL </w:t>
      </w:r>
    </w:p>
    <w:p w14:paraId="6CF2AA0F" w14:textId="77777777" w:rsidR="00036E4F" w:rsidRPr="009D0D80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 xml:space="preserve">Complaints involving payment of funds and transfer of securities to entities other than </w:t>
      </w:r>
      <w:r>
        <w:rPr>
          <w:rFonts w:ascii="Garamond" w:hAnsi="Garamond" w:cstheme="minorHAnsi"/>
          <w:color w:val="000000" w:themeColor="text1"/>
          <w:sz w:val="24"/>
          <w:szCs w:val="24"/>
        </w:rPr>
        <w:t xml:space="preserve">BASL Registered RIA </w:t>
      </w:r>
    </w:p>
    <w:p w14:paraId="34730420" w14:textId="77777777" w:rsidR="00036E4F" w:rsidRPr="009D0D80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>Complaints in respect of transactions which are already subject matter of Arbitration /Appellate Arbitration proceedings</w:t>
      </w:r>
    </w:p>
    <w:p w14:paraId="3B721113" w14:textId="77777777" w:rsidR="00036E4F" w:rsidRPr="009D0D80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>Claims for mental agony/harassment and expenses incurred for pursuing the matter w</w:t>
      </w:r>
    </w:p>
    <w:p w14:paraId="5332128D" w14:textId="189D55F8" w:rsidR="00036E4F" w:rsidRPr="00036E4F" w:rsidRDefault="00036E4F" w:rsidP="00036E4F">
      <w:pPr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>Claim for notional loss, opportunity loss for the disputed period or trade</w:t>
      </w:r>
      <w:r>
        <w:rPr>
          <w:rFonts w:ascii="Garamond" w:hAnsi="Garamond" w:cstheme="minorHAnsi"/>
          <w:color w:val="000000" w:themeColor="text1"/>
          <w:sz w:val="24"/>
          <w:szCs w:val="24"/>
        </w:rPr>
        <w:t>.</w:t>
      </w:r>
    </w:p>
    <w:p w14:paraId="42FE9C37" w14:textId="77777777" w:rsidR="00036E4F" w:rsidRPr="009D0D80" w:rsidRDefault="00036E4F" w:rsidP="00036E4F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3CBBC086" w14:textId="77777777" w:rsidR="00036E4F" w:rsidRPr="009D0D80" w:rsidRDefault="00036E4F" w:rsidP="00036E4F">
      <w:pPr>
        <w:jc w:val="both"/>
        <w:rPr>
          <w:rFonts w:ascii="Garamond" w:hAnsi="Garamond" w:cstheme="minorHAnsi"/>
          <w:color w:val="000000" w:themeColor="text1"/>
          <w:sz w:val="24"/>
          <w:szCs w:val="24"/>
          <w:lang w:val="en-IN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  <w:lang w:val="en-IN"/>
        </w:rPr>
        <w:t>The contact person for complaints through SCORES is as under:</w:t>
      </w:r>
    </w:p>
    <w:p w14:paraId="09D5A6A8" w14:textId="77777777" w:rsidR="00036E4F" w:rsidRPr="009D0D80" w:rsidRDefault="00036E4F" w:rsidP="00036E4F">
      <w:pPr>
        <w:ind w:left="720"/>
        <w:jc w:val="both"/>
        <w:rPr>
          <w:rFonts w:ascii="Garamond" w:hAnsi="Garamond" w:cstheme="minorHAnsi"/>
          <w:color w:val="000000" w:themeColor="text1"/>
          <w:sz w:val="24"/>
          <w:szCs w:val="24"/>
          <w:lang w:val="en-IN"/>
        </w:rPr>
      </w:pPr>
    </w:p>
    <w:p w14:paraId="64672391" w14:textId="05E52BC4" w:rsidR="00036E4F" w:rsidRPr="00036E4F" w:rsidRDefault="00036E4F" w:rsidP="00036E4F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D0D80">
        <w:rPr>
          <w:rFonts w:ascii="Garamond" w:hAnsi="Garamond" w:cstheme="minorHAnsi"/>
          <w:color w:val="000000" w:themeColor="text1"/>
          <w:sz w:val="24"/>
          <w:szCs w:val="24"/>
        </w:rPr>
        <w:t> </w:t>
      </w:r>
      <w:r w:rsidRPr="00036E4F">
        <w:rPr>
          <w:rFonts w:ascii="Garamond" w:hAnsi="Garamond" w:cstheme="minorHAnsi"/>
          <w:color w:val="FF0000"/>
          <w:sz w:val="24"/>
          <w:szCs w:val="24"/>
        </w:rPr>
        <w:t>Mr./ Ms. ____________________________ Ph. No. ________________</w:t>
      </w:r>
    </w:p>
    <w:sectPr w:rsidR="00036E4F" w:rsidRPr="00036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355CB" w14:textId="77777777" w:rsidR="00950185" w:rsidRDefault="00950185" w:rsidP="00B662BE">
      <w:r>
        <w:separator/>
      </w:r>
    </w:p>
  </w:endnote>
  <w:endnote w:type="continuationSeparator" w:id="0">
    <w:p w14:paraId="54D75D78" w14:textId="77777777" w:rsidR="00950185" w:rsidRDefault="00950185" w:rsidP="00B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87C7" w14:textId="77777777" w:rsidR="00B662BE" w:rsidRDefault="00B66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5C8C6" w14:textId="5F9FECB9" w:rsidR="00BA504D" w:rsidRDefault="00B66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94D8D" wp14:editId="776CF998">
              <wp:simplePos x="0" y="0"/>
              <wp:positionH relativeFrom="column">
                <wp:posOffset>2435860</wp:posOffset>
              </wp:positionH>
              <wp:positionV relativeFrom="paragraph">
                <wp:posOffset>247015</wp:posOffset>
              </wp:positionV>
              <wp:extent cx="1707422" cy="254000"/>
              <wp:effectExtent l="0" t="0" r="0" b="0"/>
              <wp:wrapNone/>
              <wp:docPr id="3" name="expertsource_setting_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7422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33337C" w14:textId="3B655BD0" w:rsidR="00B662BE" w:rsidRPr="00B662BE" w:rsidRDefault="00B662BE">
                          <w:pPr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</w:pPr>
                          <w:r w:rsidRPr="00B662BE"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  <w:t>BSE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494D8D" id="_x0000_t202" coordsize="21600,21600" o:spt="202" path="m,l,21600r21600,l21600,xe">
              <v:stroke joinstyle="miter"/>
              <v:path gradientshapeok="t" o:connecttype="rect"/>
            </v:shapetype>
            <v:shape id="expertsource_setting_footer" o:spid="_x0000_s1026" type="#_x0000_t202" style="position:absolute;margin-left:191.8pt;margin-top:19.45pt;width:134.45pt;height:2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" filled="f" stroked="f" strokeweight=".5pt">
              <v:fill o:detectmouseclick="t"/>
              <v:textbox>
                <w:txbxContent>
                  <w:p w14:paraId="4433337C" w14:textId="3B655BD0" w:rsidR="00B662BE" w:rsidRPr="00B662BE" w:rsidRDefault="00B662BE">
                    <w:pPr>
                      <w:rPr>
                        <w:rFonts w:ascii="Arial" w:hAnsi="Arial" w:cs="Arial"/>
                        <w:color w:val="8585FF"/>
                        <w:sz w:val="16"/>
                      </w:rPr>
                    </w:pPr>
                    <w:r w:rsidRPr="00B662BE">
                      <w:rPr>
                        <w:rFonts w:ascii="Arial" w:hAnsi="Arial" w:cs="Arial"/>
                        <w:color w:val="8585FF"/>
                        <w:sz w:val="16"/>
                      </w:rPr>
                      <w:t>BSE - INTERNAL</w:t>
                    </w:r>
                  </w:p>
                </w:txbxContent>
              </v:textbox>
            </v:shape>
          </w:pict>
        </mc:Fallback>
      </mc:AlternateContent>
    </w:r>
    <w:r w:rsidR="0095018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8E543" wp14:editId="70B00C1C">
              <wp:simplePos x="0" y="0"/>
              <wp:positionH relativeFrom="column">
                <wp:posOffset>2479040</wp:posOffset>
              </wp:positionH>
              <wp:positionV relativeFrom="paragraph">
                <wp:posOffset>247015</wp:posOffset>
              </wp:positionV>
              <wp:extent cx="979170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17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009F3" w14:textId="77777777" w:rsidR="00BA504D" w:rsidRPr="00BA504D" w:rsidRDefault="00950185">
                          <w:pPr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</w:pPr>
                          <w:r w:rsidRPr="00BA504D">
                            <w:rPr>
                              <w:rFonts w:ascii="Arial" w:hAnsi="Arial" w:cs="Arial"/>
                              <w:color w:val="8585FF"/>
                              <w:sz w:val="16"/>
                            </w:rPr>
                            <w:t>BSE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E8E543" id="Text Box 1" o:spid="_x0000_s1027" type="#_x0000_t202" style="position:absolute;margin-left:195.2pt;margin-top:19.45pt;width:77.1pt;height:2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" filled="f" stroked="f" strokeweight=".5pt">
              <v:textbox>
                <w:txbxContent>
                  <w:p w14:paraId="10A009F3" w14:textId="77777777" w:rsidR="00BA504D" w:rsidRPr="00BA504D" w:rsidRDefault="00950185">
                    <w:pPr>
                      <w:rPr>
                        <w:rFonts w:ascii="Arial" w:hAnsi="Arial" w:cs="Arial"/>
                        <w:color w:val="8585FF"/>
                        <w:sz w:val="16"/>
                      </w:rPr>
                    </w:pPr>
                    <w:r w:rsidRPr="00BA504D">
                      <w:rPr>
                        <w:rFonts w:ascii="Arial" w:hAnsi="Arial" w:cs="Arial"/>
                        <w:color w:val="8585FF"/>
                        <w:sz w:val="16"/>
                      </w:rPr>
                      <w:t>BSE - INTERNAL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2B6E" w14:textId="77777777" w:rsidR="00B662BE" w:rsidRDefault="00B66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71E0" w14:textId="77777777" w:rsidR="00950185" w:rsidRDefault="00950185" w:rsidP="00B662BE">
      <w:r>
        <w:separator/>
      </w:r>
    </w:p>
  </w:footnote>
  <w:footnote w:type="continuationSeparator" w:id="0">
    <w:p w14:paraId="1BC06694" w14:textId="77777777" w:rsidR="00950185" w:rsidRDefault="00950185" w:rsidP="00B6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572F" w14:textId="77777777" w:rsidR="00B662BE" w:rsidRDefault="00B66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597C" w14:textId="77777777" w:rsidR="00B662BE" w:rsidRDefault="00B66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DD44" w14:textId="77777777" w:rsidR="00B662BE" w:rsidRDefault="00B66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2CC9"/>
    <w:multiLevelType w:val="multilevel"/>
    <w:tmpl w:val="B29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82E71"/>
    <w:multiLevelType w:val="multilevel"/>
    <w:tmpl w:val="BAE8C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B583D"/>
    <w:multiLevelType w:val="hybridMultilevel"/>
    <w:tmpl w:val="F4DE7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4F"/>
    <w:rsid w:val="00036E4F"/>
    <w:rsid w:val="00950185"/>
    <w:rsid w:val="00B662BE"/>
    <w:rsid w:val="00C2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48848"/>
  <w15:chartTrackingRefBased/>
  <w15:docId w15:val="{A597E965-5B19-4DE3-996D-1A08451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4F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E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6E4F"/>
    <w:pPr>
      <w:ind w:left="720"/>
    </w:pPr>
  </w:style>
  <w:style w:type="character" w:styleId="Strong">
    <w:name w:val="Strong"/>
    <w:uiPriority w:val="22"/>
    <w:qFormat/>
    <w:rsid w:val="00036E4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36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4F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4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3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E4F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2021-04-12 15:02:43</KDate>
  <Classification>BSE - INTERNAL</Classification>
  <HostName>BSEF24WD017</HostName>
  <Domain_User>BSELTD/dnyaneshwar.dongare</Domain_User>
  <IPAdd>10.228.10.17</IPAdd>
  <FilePath>Document1</FilePath>
  <KID>F4939FF3ED51637538365631946891</KID>
  <UniqueName/>
  <Suggested/>
  <Justification/>
</Klassify>
</file>

<file path=customXml/itemProps1.xml><?xml version="1.0" encoding="utf-8"?>
<ds:datastoreItem xmlns:ds="http://schemas.openxmlformats.org/officeDocument/2006/customXml" ds:itemID="{E2290A6E-EEF7-4745-9D53-AF1C287450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Dnyaneshwar Dongare</dc:creator>
  <cp:keywords/>
  <dc:description/>
  <cp:lastModifiedBy>Dnyaneshwar Dongare</cp:lastModifiedBy>
  <cp:revision>1</cp:revision>
  <dcterms:created xsi:type="dcterms:W3CDTF">2021-04-12T09:08:00Z</dcterms:created>
  <dcterms:modified xsi:type="dcterms:W3CDTF">2021-04-12T09:33:00Z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BSE - INTERNAL</vt:lpwstr>
  </property>
  <property fmtid="{D5CDD505-2E9C-101B-9397-08002B2CF9AE}" pid="3" name="Rules">
    <vt:lpwstr/>
  </property>
  <property fmtid="{D5CDD505-2E9C-101B-9397-08002B2CF9AE}" pid="4" name="KID">
    <vt:lpwstr>F4939FF3ED51637538365631946891</vt:lpwstr>
  </property>
</Properties>
</file>